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A9" w:rsidRDefault="009C60A9" w:rsidP="009C60A9">
      <w:pPr>
        <w:jc w:val="center"/>
        <w:rPr>
          <w:b/>
          <w:color w:val="C00000"/>
          <w:sz w:val="48"/>
          <w:szCs w:val="48"/>
        </w:rPr>
      </w:pPr>
      <w:r>
        <w:rPr>
          <w:b/>
          <w:color w:val="C00000"/>
          <w:sz w:val="48"/>
          <w:szCs w:val="48"/>
        </w:rPr>
        <w:t>“T.C. İNKILÂP TARİHİ VE ATATÜRKÇÜLÜK”</w:t>
      </w:r>
    </w:p>
    <w:p w:rsidR="00E61641" w:rsidRPr="009C60A9" w:rsidRDefault="009C60A9" w:rsidP="009C60A9">
      <w:pPr>
        <w:jc w:val="center"/>
        <w:rPr>
          <w:b/>
          <w:color w:val="C00000"/>
        </w:rPr>
      </w:pPr>
      <w:r>
        <w:rPr>
          <w:b/>
          <w:color w:val="C00000"/>
        </w:rPr>
        <w:t xml:space="preserve">8. SINIF OMAGE GOLD MOTİVASYON T.C. İNKILÂP TARİHİ VE ATATÜRKÇÜLÜK </w:t>
      </w:r>
      <w:r w:rsidR="00F03CA8">
        <w:rPr>
          <w:b/>
          <w:color w:val="C00000"/>
        </w:rPr>
        <w:t xml:space="preserve"> DENEME SINAVI GENE</w:t>
      </w:r>
      <w:r w:rsidR="009566DA">
        <w:rPr>
          <w:b/>
          <w:color w:val="C00000"/>
        </w:rPr>
        <w:t>L 11</w:t>
      </w:r>
    </w:p>
    <w:p w:rsidR="0038655E" w:rsidRDefault="00F03CA8" w:rsidP="0038655E">
      <w:pPr>
        <w:spacing w:after="0"/>
        <w:rPr>
          <w:b/>
          <w:color w:val="C00000"/>
        </w:rPr>
      </w:pPr>
      <w:r>
        <w:rPr>
          <w:b/>
          <w:color w:val="C00000"/>
        </w:rPr>
        <w:t>GENEL</w:t>
      </w:r>
      <w:r w:rsidR="009566DA">
        <w:rPr>
          <w:b/>
          <w:color w:val="C00000"/>
        </w:rPr>
        <w:t xml:space="preserve"> DENEME: 11</w:t>
      </w:r>
      <w:r w:rsidR="0038655E">
        <w:rPr>
          <w:b/>
          <w:color w:val="C00000"/>
        </w:rPr>
        <w:t xml:space="preserve"> </w:t>
      </w:r>
    </w:p>
    <w:p w:rsidR="00744BF6" w:rsidRPr="00077934" w:rsidRDefault="00744BF6" w:rsidP="0038655E">
      <w:pPr>
        <w:spacing w:after="0"/>
        <w:rPr>
          <w:b/>
          <w:color w:val="C00000"/>
        </w:rPr>
      </w:pPr>
      <w:r w:rsidRPr="00077934">
        <w:rPr>
          <w:b/>
          <w:color w:val="C00000"/>
        </w:rPr>
        <w:t>(A Kitapçığı)</w:t>
      </w:r>
    </w:p>
    <w:p w:rsidR="009D74DF" w:rsidRPr="009566DA" w:rsidRDefault="00892F35" w:rsidP="009566DA">
      <w:pPr>
        <w:pStyle w:val="ListeParagraf"/>
        <w:numPr>
          <w:ilvl w:val="0"/>
          <w:numId w:val="1"/>
        </w:numPr>
        <w:jc w:val="both"/>
        <w:rPr>
          <w:b/>
          <w:sz w:val="20"/>
          <w:szCs w:val="20"/>
        </w:rPr>
      </w:pPr>
      <w:r w:rsidRPr="00D142AE">
        <w:rPr>
          <w:sz w:val="20"/>
          <w:szCs w:val="20"/>
        </w:rPr>
        <w:t xml:space="preserve"> </w:t>
      </w:r>
      <w:r w:rsidR="009566DA">
        <w:rPr>
          <w:rFonts w:cs="MyriadPro-Regular"/>
          <w:color w:val="000000"/>
          <w:sz w:val="20"/>
          <w:szCs w:val="20"/>
        </w:rPr>
        <w:t xml:space="preserve">I. Padişahı eleştirmesi; cesaretli, II. Gönüllü savaşa katılması; vatanseverliği, III. Eser kaleme alması; çok yönlü olduğunu gösterir. </w:t>
      </w:r>
      <w:r w:rsidR="007A7BAD" w:rsidRPr="009566DA">
        <w:rPr>
          <w:sz w:val="20"/>
          <w:szCs w:val="20"/>
        </w:rPr>
        <w:t xml:space="preserve">Bu yüzden </w:t>
      </w:r>
      <w:r w:rsidR="00077934" w:rsidRPr="009566DA">
        <w:rPr>
          <w:b/>
          <w:color w:val="FF0000"/>
          <w:sz w:val="20"/>
          <w:szCs w:val="20"/>
        </w:rPr>
        <w:t>doğru cevap</w:t>
      </w:r>
      <w:r w:rsidR="009566DA" w:rsidRPr="009566DA">
        <w:rPr>
          <w:b/>
          <w:color w:val="FF0000"/>
          <w:sz w:val="20"/>
          <w:szCs w:val="20"/>
        </w:rPr>
        <w:t xml:space="preserve"> D</w:t>
      </w:r>
      <w:r w:rsidR="00077934" w:rsidRPr="009566DA">
        <w:rPr>
          <w:b/>
          <w:color w:val="FF0000"/>
          <w:sz w:val="20"/>
          <w:szCs w:val="20"/>
        </w:rPr>
        <w:t xml:space="preserve"> </w:t>
      </w:r>
      <w:r w:rsidR="007A7BAD" w:rsidRPr="009566DA">
        <w:rPr>
          <w:sz w:val="20"/>
          <w:szCs w:val="20"/>
        </w:rPr>
        <w:t>olacaktır.</w:t>
      </w:r>
    </w:p>
    <w:p w:rsidR="00077934" w:rsidRPr="007A7BAD" w:rsidRDefault="00077934" w:rsidP="00077934">
      <w:pPr>
        <w:pStyle w:val="ListeParagraf"/>
        <w:jc w:val="both"/>
        <w:rPr>
          <w:b/>
          <w:sz w:val="20"/>
          <w:szCs w:val="20"/>
        </w:rPr>
      </w:pPr>
    </w:p>
    <w:p w:rsidR="00711597" w:rsidRPr="00AC620B" w:rsidRDefault="00D87CF7" w:rsidP="00AC620B">
      <w:pPr>
        <w:pStyle w:val="ListeParagraf"/>
        <w:numPr>
          <w:ilvl w:val="0"/>
          <w:numId w:val="1"/>
        </w:numPr>
        <w:jc w:val="both"/>
        <w:rPr>
          <w:b/>
          <w:sz w:val="20"/>
          <w:szCs w:val="20"/>
        </w:rPr>
      </w:pPr>
      <w:r>
        <w:rPr>
          <w:sz w:val="20"/>
          <w:szCs w:val="20"/>
        </w:rPr>
        <w:t>Yapılan</w:t>
      </w:r>
      <w:r w:rsidR="00AC620B">
        <w:rPr>
          <w:sz w:val="20"/>
          <w:szCs w:val="20"/>
        </w:rPr>
        <w:t xml:space="preserve"> </w:t>
      </w:r>
      <w:r>
        <w:rPr>
          <w:sz w:val="20"/>
          <w:szCs w:val="20"/>
        </w:rPr>
        <w:t>açıklamada Ankara’nın başkent olması</w:t>
      </w:r>
      <w:r w:rsidR="00D62891">
        <w:rPr>
          <w:sz w:val="20"/>
          <w:szCs w:val="20"/>
        </w:rPr>
        <w:t xml:space="preserve"> ile ilgili her</w:t>
      </w:r>
      <w:r>
        <w:rPr>
          <w:sz w:val="20"/>
          <w:szCs w:val="20"/>
        </w:rPr>
        <w:t>han</w:t>
      </w:r>
      <w:r w:rsidR="00D62891">
        <w:rPr>
          <w:sz w:val="20"/>
          <w:szCs w:val="20"/>
        </w:rPr>
        <w:t xml:space="preserve">gi bir ifadeye değinilmemiştir. BMM’nin açılmasıyla milli iradeye geçileceğini ve yeni bir Türk devletinin temelleri atılmasından bahsedilmektedir. </w:t>
      </w:r>
      <w:r w:rsidR="00711597" w:rsidRPr="00AC620B">
        <w:rPr>
          <w:sz w:val="20"/>
          <w:szCs w:val="20"/>
        </w:rPr>
        <w:t xml:space="preserve">Bu yüzden </w:t>
      </w:r>
      <w:r w:rsidR="00711597" w:rsidRPr="00AC620B">
        <w:rPr>
          <w:b/>
          <w:color w:val="FF0000"/>
          <w:sz w:val="20"/>
          <w:szCs w:val="20"/>
        </w:rPr>
        <w:t xml:space="preserve">doğru cevap </w:t>
      </w:r>
      <w:r>
        <w:rPr>
          <w:b/>
          <w:color w:val="FF0000"/>
          <w:sz w:val="20"/>
          <w:szCs w:val="20"/>
        </w:rPr>
        <w:t>A</w:t>
      </w:r>
      <w:r w:rsidR="00711597" w:rsidRPr="00AC620B">
        <w:rPr>
          <w:sz w:val="20"/>
          <w:szCs w:val="20"/>
        </w:rPr>
        <w:t xml:space="preserve"> olacaktır.</w:t>
      </w:r>
    </w:p>
    <w:p w:rsidR="007A7BAD" w:rsidRPr="007A7BAD" w:rsidRDefault="007A7BAD" w:rsidP="00077934">
      <w:pPr>
        <w:pStyle w:val="ListeParagraf"/>
        <w:jc w:val="both"/>
        <w:rPr>
          <w:b/>
          <w:sz w:val="20"/>
          <w:szCs w:val="20"/>
        </w:rPr>
      </w:pPr>
    </w:p>
    <w:p w:rsidR="007A7BAD" w:rsidRPr="00077934" w:rsidRDefault="005701FC" w:rsidP="007A7BAD">
      <w:pPr>
        <w:pStyle w:val="ListeParagraf"/>
        <w:numPr>
          <w:ilvl w:val="0"/>
          <w:numId w:val="1"/>
        </w:numPr>
        <w:jc w:val="both"/>
        <w:rPr>
          <w:b/>
          <w:sz w:val="20"/>
          <w:szCs w:val="20"/>
        </w:rPr>
      </w:pPr>
      <w:r>
        <w:rPr>
          <w:sz w:val="20"/>
          <w:szCs w:val="20"/>
        </w:rPr>
        <w:t xml:space="preserve">Tekalif-i Milliye Emirleri’yle Anadolu insanı Türk ordusuna yardım ederek topyekün bir mücadele vererek, birlik ve beraberlik içinde bağımsızlık için düşmana karşı savaşmıştır. Ekonomik gelişmeye zemin hazırlamak için yapılmamıştır. </w:t>
      </w:r>
      <w:r w:rsidR="00470B7C">
        <w:rPr>
          <w:sz w:val="20"/>
          <w:szCs w:val="20"/>
        </w:rPr>
        <w:t xml:space="preserve"> </w:t>
      </w:r>
      <w:r w:rsidR="007A7BAD">
        <w:rPr>
          <w:sz w:val="20"/>
          <w:szCs w:val="20"/>
        </w:rPr>
        <w:t xml:space="preserve">Bu yüzden </w:t>
      </w:r>
      <w:r w:rsidR="00077934" w:rsidRPr="00077934">
        <w:rPr>
          <w:b/>
          <w:color w:val="FF0000"/>
          <w:sz w:val="20"/>
          <w:szCs w:val="20"/>
        </w:rPr>
        <w:t xml:space="preserve">doğru cevap </w:t>
      </w:r>
      <w:r>
        <w:rPr>
          <w:b/>
          <w:color w:val="FF0000"/>
          <w:sz w:val="20"/>
          <w:szCs w:val="20"/>
        </w:rPr>
        <w:t>A</w:t>
      </w:r>
      <w:r w:rsidR="007A7BAD">
        <w:rPr>
          <w:b/>
          <w:sz w:val="20"/>
          <w:szCs w:val="20"/>
        </w:rPr>
        <w:t xml:space="preserve"> </w:t>
      </w:r>
      <w:r w:rsidR="007A7BAD">
        <w:rPr>
          <w:sz w:val="20"/>
          <w:szCs w:val="20"/>
        </w:rPr>
        <w:t>olacaktır.</w:t>
      </w:r>
    </w:p>
    <w:p w:rsidR="00077934" w:rsidRPr="007A7BAD" w:rsidRDefault="00077934" w:rsidP="00077934">
      <w:pPr>
        <w:pStyle w:val="ListeParagraf"/>
        <w:jc w:val="both"/>
        <w:rPr>
          <w:b/>
          <w:sz w:val="20"/>
          <w:szCs w:val="20"/>
        </w:rPr>
      </w:pPr>
    </w:p>
    <w:p w:rsidR="007A7BAD" w:rsidRPr="00077934" w:rsidRDefault="00DF7490" w:rsidP="007A7BAD">
      <w:pPr>
        <w:pStyle w:val="ListeParagraf"/>
        <w:numPr>
          <w:ilvl w:val="0"/>
          <w:numId w:val="1"/>
        </w:numPr>
        <w:jc w:val="both"/>
        <w:rPr>
          <w:b/>
          <w:sz w:val="20"/>
          <w:szCs w:val="20"/>
        </w:rPr>
      </w:pPr>
      <w:r>
        <w:rPr>
          <w:sz w:val="20"/>
          <w:szCs w:val="20"/>
        </w:rPr>
        <w:t xml:space="preserve">Verilen açıklamalarda halkın egemenliği; cumhuriyetçilik ilkesi, halkın eşitliği; halkçılık ilkesi ve çağı yakalamak, gelişme, ilerleme; inkılapçılık ilkesiyle bağlantılı kavramlardır. Devletçilik ilkesi ise ekonomi politikalarıyla ilgili bir ilkedir. Bu yüzden </w:t>
      </w:r>
      <w:r w:rsidR="004F7595">
        <w:rPr>
          <w:b/>
          <w:color w:val="FF0000"/>
          <w:sz w:val="20"/>
          <w:szCs w:val="20"/>
        </w:rPr>
        <w:t xml:space="preserve">doğru cevap </w:t>
      </w:r>
      <w:r>
        <w:rPr>
          <w:b/>
          <w:color w:val="FF0000"/>
          <w:sz w:val="20"/>
          <w:szCs w:val="20"/>
        </w:rPr>
        <w:t>B</w:t>
      </w:r>
      <w:r w:rsidR="007A7BAD">
        <w:rPr>
          <w:b/>
          <w:sz w:val="20"/>
          <w:szCs w:val="20"/>
        </w:rPr>
        <w:t xml:space="preserve"> </w:t>
      </w:r>
      <w:r w:rsidR="007A7BAD">
        <w:rPr>
          <w:sz w:val="20"/>
          <w:szCs w:val="20"/>
        </w:rPr>
        <w:t>olacaktır.</w:t>
      </w:r>
    </w:p>
    <w:p w:rsidR="00077934" w:rsidRPr="007A7BAD" w:rsidRDefault="00077934" w:rsidP="00077934">
      <w:pPr>
        <w:pStyle w:val="ListeParagraf"/>
        <w:jc w:val="both"/>
        <w:rPr>
          <w:b/>
          <w:sz w:val="20"/>
          <w:szCs w:val="20"/>
        </w:rPr>
      </w:pPr>
    </w:p>
    <w:p w:rsidR="007A7BAD" w:rsidRPr="00077934" w:rsidRDefault="00457299" w:rsidP="000E0D6E">
      <w:pPr>
        <w:pStyle w:val="ListeParagraf"/>
        <w:numPr>
          <w:ilvl w:val="0"/>
          <w:numId w:val="1"/>
        </w:numPr>
        <w:jc w:val="both"/>
        <w:rPr>
          <w:b/>
          <w:sz w:val="20"/>
          <w:szCs w:val="20"/>
        </w:rPr>
      </w:pPr>
      <w:r>
        <w:rPr>
          <w:sz w:val="20"/>
          <w:szCs w:val="20"/>
        </w:rPr>
        <w:t xml:space="preserve">Paragrafta Ankara’nın düzenli kentleşme ve modern bir görünüş yönüyle ihmal edildiğinden bahsedilmiştir. Bu durumu gidermek için yapılan çalışmalar anlatılmıştır. </w:t>
      </w:r>
      <w:r w:rsidR="000E0D6E">
        <w:rPr>
          <w:sz w:val="20"/>
          <w:szCs w:val="20"/>
        </w:rPr>
        <w:t xml:space="preserve">Bu yüzden </w:t>
      </w:r>
      <w:r w:rsidR="00077934" w:rsidRPr="00077934">
        <w:rPr>
          <w:b/>
          <w:color w:val="FF0000"/>
          <w:sz w:val="20"/>
          <w:szCs w:val="20"/>
        </w:rPr>
        <w:t xml:space="preserve">doğru cevap </w:t>
      </w:r>
      <w:r>
        <w:rPr>
          <w:b/>
          <w:color w:val="FF0000"/>
          <w:sz w:val="20"/>
          <w:szCs w:val="20"/>
        </w:rPr>
        <w:t>D</w:t>
      </w:r>
      <w:r w:rsidR="000E0D6E">
        <w:rPr>
          <w:b/>
          <w:sz w:val="20"/>
          <w:szCs w:val="20"/>
        </w:rPr>
        <w:t xml:space="preserve"> </w:t>
      </w:r>
      <w:r w:rsidR="000E0D6E">
        <w:rPr>
          <w:sz w:val="20"/>
          <w:szCs w:val="20"/>
        </w:rPr>
        <w:t>ol</w:t>
      </w:r>
      <w:r w:rsidR="002E68D7">
        <w:rPr>
          <w:sz w:val="20"/>
          <w:szCs w:val="20"/>
        </w:rPr>
        <w:t>acaktır.</w:t>
      </w:r>
    </w:p>
    <w:p w:rsidR="00077934" w:rsidRDefault="00077934">
      <w:pPr>
        <w:rPr>
          <w:b/>
          <w:sz w:val="20"/>
          <w:szCs w:val="20"/>
        </w:rPr>
      </w:pPr>
      <w:r>
        <w:rPr>
          <w:b/>
          <w:sz w:val="20"/>
          <w:szCs w:val="20"/>
        </w:rPr>
        <w:br w:type="page"/>
      </w:r>
    </w:p>
    <w:p w:rsidR="000E0D6E" w:rsidRPr="00077934" w:rsidRDefault="0000039E" w:rsidP="000E0D6E">
      <w:pPr>
        <w:pStyle w:val="ListeParagraf"/>
        <w:numPr>
          <w:ilvl w:val="0"/>
          <w:numId w:val="1"/>
        </w:numPr>
        <w:jc w:val="both"/>
        <w:rPr>
          <w:b/>
          <w:sz w:val="20"/>
          <w:szCs w:val="20"/>
        </w:rPr>
      </w:pPr>
      <w:r>
        <w:rPr>
          <w:sz w:val="20"/>
          <w:szCs w:val="20"/>
        </w:rPr>
        <w:lastRenderedPageBreak/>
        <w:t>Verilen bilgilerde</w:t>
      </w:r>
      <w:r w:rsidR="00E56D7B">
        <w:rPr>
          <w:sz w:val="20"/>
          <w:szCs w:val="20"/>
        </w:rPr>
        <w:t xml:space="preserve"> işçi hakları korunup eşitsizliğe dayalı düzene son verilmiştir. Eşitlik düzenine dayalı ilke halkçılık ilkesidir.</w:t>
      </w:r>
      <w:r>
        <w:rPr>
          <w:sz w:val="20"/>
          <w:szCs w:val="20"/>
        </w:rPr>
        <w:t xml:space="preserve"> </w:t>
      </w:r>
      <w:r w:rsidR="000E0D6E">
        <w:rPr>
          <w:sz w:val="20"/>
          <w:szCs w:val="20"/>
        </w:rPr>
        <w:t xml:space="preserve">Bu yüzden </w:t>
      </w:r>
      <w:r w:rsidR="00077934" w:rsidRPr="00077934">
        <w:rPr>
          <w:b/>
          <w:color w:val="FF0000"/>
          <w:sz w:val="20"/>
          <w:szCs w:val="20"/>
        </w:rPr>
        <w:t>doğru cevap</w:t>
      </w:r>
      <w:r w:rsidR="007E6FC1">
        <w:rPr>
          <w:b/>
          <w:color w:val="FF0000"/>
          <w:sz w:val="20"/>
          <w:szCs w:val="20"/>
        </w:rPr>
        <w:t xml:space="preserve"> </w:t>
      </w:r>
      <w:r w:rsidR="00E56D7B">
        <w:rPr>
          <w:b/>
          <w:color w:val="FF0000"/>
          <w:sz w:val="20"/>
          <w:szCs w:val="20"/>
        </w:rPr>
        <w:t>A</w:t>
      </w:r>
      <w:r w:rsidR="00077934" w:rsidRPr="00077934">
        <w:rPr>
          <w:b/>
          <w:color w:val="FF0000"/>
          <w:sz w:val="20"/>
          <w:szCs w:val="20"/>
        </w:rPr>
        <w:t xml:space="preserve"> </w:t>
      </w:r>
      <w:r w:rsidR="000E0D6E">
        <w:rPr>
          <w:sz w:val="20"/>
          <w:szCs w:val="20"/>
        </w:rPr>
        <w:t>olacaktır.</w:t>
      </w:r>
    </w:p>
    <w:p w:rsidR="00077934" w:rsidRPr="000E0D6E" w:rsidRDefault="00077934" w:rsidP="00077934">
      <w:pPr>
        <w:pStyle w:val="ListeParagraf"/>
        <w:jc w:val="both"/>
        <w:rPr>
          <w:b/>
          <w:sz w:val="20"/>
          <w:szCs w:val="20"/>
        </w:rPr>
      </w:pPr>
    </w:p>
    <w:p w:rsidR="000E0D6E" w:rsidRPr="00077934" w:rsidRDefault="0017479A" w:rsidP="000E0D6E">
      <w:pPr>
        <w:pStyle w:val="ListeParagraf"/>
        <w:numPr>
          <w:ilvl w:val="0"/>
          <w:numId w:val="1"/>
        </w:numPr>
        <w:jc w:val="both"/>
        <w:rPr>
          <w:b/>
          <w:sz w:val="20"/>
          <w:szCs w:val="20"/>
        </w:rPr>
      </w:pPr>
      <w:r>
        <w:rPr>
          <w:sz w:val="20"/>
          <w:szCs w:val="20"/>
        </w:rPr>
        <w:t xml:space="preserve">Paragrafa göre </w:t>
      </w:r>
      <w:r w:rsidR="0011000D">
        <w:rPr>
          <w:sz w:val="20"/>
          <w:szCs w:val="20"/>
        </w:rPr>
        <w:t xml:space="preserve">Türkiye hiçbir ülkenin sınırlarına tecavüz etme (bağımsızlığını yok sayma) fikrinin olmadığı sadece kendi bağımsızlığı ve sınırlarını korumak için güçlü bir orduya sahip olunması gerektiği vurgulanmıştır. </w:t>
      </w:r>
      <w:r w:rsidR="000E0D6E">
        <w:rPr>
          <w:sz w:val="20"/>
          <w:szCs w:val="20"/>
        </w:rPr>
        <w:t xml:space="preserve">Bu yüzden </w:t>
      </w:r>
      <w:r w:rsidR="00077934" w:rsidRPr="00077934">
        <w:rPr>
          <w:b/>
          <w:color w:val="FF0000"/>
          <w:sz w:val="20"/>
          <w:szCs w:val="20"/>
        </w:rPr>
        <w:t>doğru cevap</w:t>
      </w:r>
      <w:r w:rsidR="00DE29E3">
        <w:rPr>
          <w:b/>
          <w:color w:val="FF0000"/>
          <w:sz w:val="20"/>
          <w:szCs w:val="20"/>
        </w:rPr>
        <w:t xml:space="preserve"> </w:t>
      </w:r>
      <w:r w:rsidR="0011000D">
        <w:rPr>
          <w:b/>
          <w:color w:val="FF0000"/>
          <w:sz w:val="20"/>
          <w:szCs w:val="20"/>
        </w:rPr>
        <w:t xml:space="preserve">C </w:t>
      </w:r>
      <w:r w:rsidR="000E0D6E">
        <w:rPr>
          <w:sz w:val="20"/>
          <w:szCs w:val="20"/>
        </w:rPr>
        <w:t>olacaktır.</w:t>
      </w:r>
    </w:p>
    <w:p w:rsidR="00077934" w:rsidRPr="000E0D6E" w:rsidRDefault="00077934" w:rsidP="00077934">
      <w:pPr>
        <w:pStyle w:val="ListeParagraf"/>
        <w:jc w:val="both"/>
        <w:rPr>
          <w:b/>
          <w:sz w:val="20"/>
          <w:szCs w:val="20"/>
        </w:rPr>
      </w:pPr>
    </w:p>
    <w:p w:rsidR="000E0D6E" w:rsidRPr="00077934" w:rsidRDefault="004969F7" w:rsidP="000E0D6E">
      <w:pPr>
        <w:pStyle w:val="ListeParagraf"/>
        <w:numPr>
          <w:ilvl w:val="0"/>
          <w:numId w:val="1"/>
        </w:numPr>
        <w:jc w:val="both"/>
        <w:rPr>
          <w:b/>
          <w:sz w:val="20"/>
          <w:szCs w:val="20"/>
        </w:rPr>
      </w:pPr>
      <w:r>
        <w:rPr>
          <w:sz w:val="20"/>
          <w:szCs w:val="20"/>
        </w:rPr>
        <w:t>Soruda verilen yenilikler Harf İnkılabı’nın benimsenmesini kolaylaştırmıştır.</w:t>
      </w:r>
      <w:r w:rsidR="008B1341">
        <w:rPr>
          <w:sz w:val="20"/>
          <w:szCs w:val="20"/>
        </w:rPr>
        <w:t xml:space="preserve"> </w:t>
      </w:r>
      <w:r w:rsidR="00E42370">
        <w:rPr>
          <w:sz w:val="20"/>
          <w:szCs w:val="20"/>
        </w:rPr>
        <w:t xml:space="preserve">Bu yüzden </w:t>
      </w:r>
      <w:r w:rsidR="00077934" w:rsidRPr="00077934">
        <w:rPr>
          <w:b/>
          <w:color w:val="FF0000"/>
          <w:sz w:val="20"/>
          <w:szCs w:val="20"/>
        </w:rPr>
        <w:t>doğru cevap</w:t>
      </w:r>
      <w:r w:rsidR="007E6FC1">
        <w:rPr>
          <w:b/>
          <w:color w:val="FF0000"/>
          <w:sz w:val="20"/>
          <w:szCs w:val="20"/>
        </w:rPr>
        <w:t xml:space="preserve"> </w:t>
      </w:r>
      <w:r>
        <w:rPr>
          <w:b/>
          <w:color w:val="FF0000"/>
          <w:sz w:val="20"/>
          <w:szCs w:val="20"/>
        </w:rPr>
        <w:t>B</w:t>
      </w:r>
      <w:r w:rsidR="00077934" w:rsidRPr="00077934">
        <w:rPr>
          <w:b/>
          <w:color w:val="FF0000"/>
          <w:sz w:val="20"/>
          <w:szCs w:val="20"/>
        </w:rPr>
        <w:t xml:space="preserve"> </w:t>
      </w:r>
      <w:r w:rsidR="00E42370">
        <w:rPr>
          <w:sz w:val="20"/>
          <w:szCs w:val="20"/>
        </w:rPr>
        <w:t>seçeneği olacaktır.</w:t>
      </w:r>
    </w:p>
    <w:p w:rsidR="00077934" w:rsidRPr="00E42370" w:rsidRDefault="00077934" w:rsidP="00077934">
      <w:pPr>
        <w:pStyle w:val="ListeParagraf"/>
        <w:jc w:val="both"/>
        <w:rPr>
          <w:b/>
          <w:sz w:val="20"/>
          <w:szCs w:val="20"/>
        </w:rPr>
      </w:pPr>
    </w:p>
    <w:p w:rsidR="00077934" w:rsidRPr="00077934" w:rsidRDefault="007E6FC1" w:rsidP="00077934">
      <w:pPr>
        <w:pStyle w:val="ListeParagraf"/>
        <w:numPr>
          <w:ilvl w:val="0"/>
          <w:numId w:val="1"/>
        </w:numPr>
        <w:jc w:val="both"/>
        <w:rPr>
          <w:b/>
          <w:sz w:val="20"/>
          <w:szCs w:val="20"/>
        </w:rPr>
      </w:pPr>
      <w:r>
        <w:rPr>
          <w:sz w:val="20"/>
          <w:szCs w:val="20"/>
        </w:rPr>
        <w:t>Verilen açıklamada</w:t>
      </w:r>
      <w:r w:rsidR="008E7E45">
        <w:rPr>
          <w:sz w:val="20"/>
          <w:szCs w:val="20"/>
        </w:rPr>
        <w:t xml:space="preserve"> Türkiye’nin jeopolitik konumundan bahsedilmiştir. Bu durum Türkiye’ye karşı tehditlerin artmasına yol açmaktadır.</w:t>
      </w:r>
      <w:r>
        <w:rPr>
          <w:sz w:val="20"/>
          <w:szCs w:val="20"/>
        </w:rPr>
        <w:t xml:space="preserve"> </w:t>
      </w:r>
      <w:r w:rsidR="00E42370">
        <w:rPr>
          <w:sz w:val="20"/>
          <w:szCs w:val="20"/>
        </w:rPr>
        <w:t xml:space="preserve">Bu yüzden </w:t>
      </w:r>
      <w:r w:rsidR="00077934" w:rsidRPr="00077934">
        <w:rPr>
          <w:b/>
          <w:color w:val="FF0000"/>
          <w:sz w:val="20"/>
          <w:szCs w:val="20"/>
        </w:rPr>
        <w:t>doğru cevap</w:t>
      </w:r>
      <w:r>
        <w:rPr>
          <w:b/>
          <w:color w:val="FF0000"/>
          <w:sz w:val="20"/>
          <w:szCs w:val="20"/>
        </w:rPr>
        <w:t xml:space="preserve"> </w:t>
      </w:r>
      <w:r w:rsidR="008E7E45">
        <w:rPr>
          <w:b/>
          <w:color w:val="FF0000"/>
          <w:sz w:val="20"/>
          <w:szCs w:val="20"/>
        </w:rPr>
        <w:t>C</w:t>
      </w:r>
      <w:r w:rsidR="00077934" w:rsidRPr="00077934">
        <w:rPr>
          <w:b/>
          <w:color w:val="FF0000"/>
          <w:sz w:val="20"/>
          <w:szCs w:val="20"/>
        </w:rPr>
        <w:t xml:space="preserve"> </w:t>
      </w:r>
      <w:r w:rsidR="00E42370">
        <w:rPr>
          <w:sz w:val="20"/>
          <w:szCs w:val="20"/>
        </w:rPr>
        <w:t>olacaktır.</w:t>
      </w:r>
    </w:p>
    <w:p w:rsidR="00077934" w:rsidRPr="00E42370" w:rsidRDefault="00077934" w:rsidP="00077934">
      <w:pPr>
        <w:pStyle w:val="ListeParagraf"/>
        <w:jc w:val="both"/>
        <w:rPr>
          <w:b/>
          <w:sz w:val="20"/>
          <w:szCs w:val="20"/>
        </w:rPr>
      </w:pPr>
    </w:p>
    <w:p w:rsidR="00E42370" w:rsidRPr="00077934" w:rsidRDefault="003D10F6" w:rsidP="000E0D6E">
      <w:pPr>
        <w:pStyle w:val="ListeParagraf"/>
        <w:numPr>
          <w:ilvl w:val="0"/>
          <w:numId w:val="1"/>
        </w:numPr>
        <w:jc w:val="both"/>
        <w:rPr>
          <w:b/>
          <w:sz w:val="20"/>
          <w:szCs w:val="20"/>
        </w:rPr>
      </w:pPr>
      <w:r>
        <w:rPr>
          <w:sz w:val="20"/>
          <w:szCs w:val="20"/>
        </w:rPr>
        <w:t>Verilen öncüllere</w:t>
      </w:r>
      <w:r w:rsidR="00996060">
        <w:rPr>
          <w:sz w:val="20"/>
          <w:szCs w:val="20"/>
        </w:rPr>
        <w:t xml:space="preserve"> göre</w:t>
      </w:r>
      <w:r>
        <w:rPr>
          <w:sz w:val="20"/>
          <w:szCs w:val="20"/>
        </w:rPr>
        <w:t xml:space="preserve"> II. Dünya Savaşı sonrası demokrasi ülkeleri kazandığı için baskıcı rejimler kaybetmiştir. Türkiye demokrasi ülkelerinin yanında savaşa katıldığı için ABD tarafına geçip dış politikada değişikliğe gitmiştir. BM dünya barışı için kurulmuştur. Sömürge altındaki mazlum ülkeler bağımsız olmuştur.</w:t>
      </w:r>
      <w:r w:rsidR="00C33B6E">
        <w:rPr>
          <w:sz w:val="20"/>
          <w:szCs w:val="20"/>
        </w:rPr>
        <w:t xml:space="preserve"> </w:t>
      </w:r>
      <w:r w:rsidR="0046713D">
        <w:rPr>
          <w:sz w:val="20"/>
          <w:szCs w:val="20"/>
        </w:rPr>
        <w:t xml:space="preserve">Bu yüzden </w:t>
      </w:r>
      <w:r w:rsidR="00077934" w:rsidRPr="00077934">
        <w:rPr>
          <w:b/>
          <w:color w:val="FF0000"/>
          <w:sz w:val="20"/>
          <w:szCs w:val="20"/>
        </w:rPr>
        <w:t xml:space="preserve">doğru cevap </w:t>
      </w:r>
      <w:r>
        <w:rPr>
          <w:b/>
          <w:color w:val="FF0000"/>
          <w:sz w:val="20"/>
          <w:szCs w:val="20"/>
        </w:rPr>
        <w:t>D</w:t>
      </w:r>
      <w:r w:rsidR="00C33B6E">
        <w:rPr>
          <w:b/>
          <w:color w:val="FF0000"/>
          <w:sz w:val="20"/>
          <w:szCs w:val="20"/>
        </w:rPr>
        <w:t xml:space="preserve"> </w:t>
      </w:r>
      <w:r w:rsidR="0046713D">
        <w:rPr>
          <w:sz w:val="20"/>
          <w:szCs w:val="20"/>
        </w:rPr>
        <w:t>olacaktır.</w:t>
      </w:r>
    </w:p>
    <w:p w:rsidR="00077934" w:rsidRPr="0046713D" w:rsidRDefault="00077934" w:rsidP="00077934">
      <w:pPr>
        <w:pStyle w:val="ListeParagraf"/>
        <w:jc w:val="both"/>
        <w:rPr>
          <w:b/>
          <w:sz w:val="20"/>
          <w:szCs w:val="20"/>
        </w:rPr>
      </w:pPr>
    </w:p>
    <w:sectPr w:rsidR="00077934" w:rsidRPr="0046713D" w:rsidSect="00744BF6">
      <w:pgSz w:w="9356" w:h="13325" w:code="9"/>
      <w:pgMar w:top="851" w:right="851" w:bottom="851" w:left="85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97C" w:rsidRDefault="00BA297C" w:rsidP="00744BF6">
      <w:pPr>
        <w:spacing w:after="0" w:line="240" w:lineRule="auto"/>
      </w:pPr>
      <w:r>
        <w:separator/>
      </w:r>
    </w:p>
  </w:endnote>
  <w:endnote w:type="continuationSeparator" w:id="1">
    <w:p w:rsidR="00BA297C" w:rsidRDefault="00BA297C" w:rsidP="00744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Regular">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97C" w:rsidRDefault="00BA297C" w:rsidP="00744BF6">
      <w:pPr>
        <w:spacing w:after="0" w:line="240" w:lineRule="auto"/>
      </w:pPr>
      <w:r>
        <w:separator/>
      </w:r>
    </w:p>
  </w:footnote>
  <w:footnote w:type="continuationSeparator" w:id="1">
    <w:p w:rsidR="00BA297C" w:rsidRDefault="00BA297C" w:rsidP="00744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8605C"/>
    <w:multiLevelType w:val="hybridMultilevel"/>
    <w:tmpl w:val="0254CE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hyphenationZone w:val="425"/>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3D464F"/>
    <w:rsid w:val="0000039E"/>
    <w:rsid w:val="00077934"/>
    <w:rsid w:val="000E0D6E"/>
    <w:rsid w:val="000F16D1"/>
    <w:rsid w:val="0011000D"/>
    <w:rsid w:val="00142711"/>
    <w:rsid w:val="001471F5"/>
    <w:rsid w:val="0015346A"/>
    <w:rsid w:val="0017479A"/>
    <w:rsid w:val="00181C61"/>
    <w:rsid w:val="001C4B66"/>
    <w:rsid w:val="001D251F"/>
    <w:rsid w:val="002771DF"/>
    <w:rsid w:val="002E68D7"/>
    <w:rsid w:val="002F55F3"/>
    <w:rsid w:val="0031488C"/>
    <w:rsid w:val="00353543"/>
    <w:rsid w:val="0038655E"/>
    <w:rsid w:val="003D10F6"/>
    <w:rsid w:val="003D464F"/>
    <w:rsid w:val="00404B30"/>
    <w:rsid w:val="0042068F"/>
    <w:rsid w:val="0044294F"/>
    <w:rsid w:val="00457299"/>
    <w:rsid w:val="0046713D"/>
    <w:rsid w:val="00470B7C"/>
    <w:rsid w:val="004969F7"/>
    <w:rsid w:val="004D734D"/>
    <w:rsid w:val="004E3F25"/>
    <w:rsid w:val="004F7595"/>
    <w:rsid w:val="00500D18"/>
    <w:rsid w:val="00510479"/>
    <w:rsid w:val="005701FC"/>
    <w:rsid w:val="00577590"/>
    <w:rsid w:val="005D1927"/>
    <w:rsid w:val="005F0407"/>
    <w:rsid w:val="00614EBC"/>
    <w:rsid w:val="0067044A"/>
    <w:rsid w:val="006F28DE"/>
    <w:rsid w:val="00707F99"/>
    <w:rsid w:val="00711597"/>
    <w:rsid w:val="007234C0"/>
    <w:rsid w:val="0073682D"/>
    <w:rsid w:val="00744BF6"/>
    <w:rsid w:val="007A7BAD"/>
    <w:rsid w:val="007B37F6"/>
    <w:rsid w:val="007E6FC1"/>
    <w:rsid w:val="00892F35"/>
    <w:rsid w:val="008A18B2"/>
    <w:rsid w:val="008B1341"/>
    <w:rsid w:val="008B36DF"/>
    <w:rsid w:val="008B6A23"/>
    <w:rsid w:val="008E4DD1"/>
    <w:rsid w:val="008E7E45"/>
    <w:rsid w:val="00930CA1"/>
    <w:rsid w:val="00930F36"/>
    <w:rsid w:val="00934A53"/>
    <w:rsid w:val="00950A32"/>
    <w:rsid w:val="009566DA"/>
    <w:rsid w:val="00965BDC"/>
    <w:rsid w:val="00971BB9"/>
    <w:rsid w:val="00996060"/>
    <w:rsid w:val="009A2BF0"/>
    <w:rsid w:val="009B2085"/>
    <w:rsid w:val="009C5867"/>
    <w:rsid w:val="009C60A9"/>
    <w:rsid w:val="009D74DF"/>
    <w:rsid w:val="00A54710"/>
    <w:rsid w:val="00A83344"/>
    <w:rsid w:val="00AB0A0B"/>
    <w:rsid w:val="00AB63F4"/>
    <w:rsid w:val="00AC21D4"/>
    <w:rsid w:val="00AC620B"/>
    <w:rsid w:val="00AF3B51"/>
    <w:rsid w:val="00BA297C"/>
    <w:rsid w:val="00C10431"/>
    <w:rsid w:val="00C13FCE"/>
    <w:rsid w:val="00C14E81"/>
    <w:rsid w:val="00C16A7A"/>
    <w:rsid w:val="00C2516F"/>
    <w:rsid w:val="00C33B6E"/>
    <w:rsid w:val="00CB1B15"/>
    <w:rsid w:val="00CB6905"/>
    <w:rsid w:val="00CC0D30"/>
    <w:rsid w:val="00D142AE"/>
    <w:rsid w:val="00D51637"/>
    <w:rsid w:val="00D62891"/>
    <w:rsid w:val="00D854E6"/>
    <w:rsid w:val="00D87CF7"/>
    <w:rsid w:val="00DC5403"/>
    <w:rsid w:val="00DD1D47"/>
    <w:rsid w:val="00DE29E3"/>
    <w:rsid w:val="00DE724C"/>
    <w:rsid w:val="00DF0C1C"/>
    <w:rsid w:val="00DF50D5"/>
    <w:rsid w:val="00DF6309"/>
    <w:rsid w:val="00DF7490"/>
    <w:rsid w:val="00E42370"/>
    <w:rsid w:val="00E523F2"/>
    <w:rsid w:val="00E56D7B"/>
    <w:rsid w:val="00E61641"/>
    <w:rsid w:val="00EC6C46"/>
    <w:rsid w:val="00EF047A"/>
    <w:rsid w:val="00EF4C2E"/>
    <w:rsid w:val="00F03CA8"/>
    <w:rsid w:val="00F178F7"/>
    <w:rsid w:val="00F4799C"/>
    <w:rsid w:val="00F861CF"/>
    <w:rsid w:val="00FB5B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1puntogvdemetni">
    <w:name w:val="11 punto gövde metni"/>
    <w:basedOn w:val="Normal"/>
    <w:qFormat/>
    <w:rsid w:val="00F4799C"/>
    <w:pPr>
      <w:tabs>
        <w:tab w:val="left" w:pos="284"/>
      </w:tabs>
      <w:spacing w:after="240" w:line="259" w:lineRule="auto"/>
      <w:ind w:left="-284" w:right="-567" w:firstLine="567"/>
      <w:jc w:val="both"/>
    </w:pPr>
    <w:rPr>
      <w:rFonts w:ascii="Calibri" w:hAnsi="Calibri" w:cs="Calibri"/>
      <w:iCs/>
      <w:szCs w:val="28"/>
    </w:rPr>
  </w:style>
  <w:style w:type="paragraph" w:styleId="ListeParagraf">
    <w:name w:val="List Paragraph"/>
    <w:basedOn w:val="Normal"/>
    <w:uiPriority w:val="34"/>
    <w:qFormat/>
    <w:rsid w:val="009D74DF"/>
    <w:pPr>
      <w:ind w:left="720"/>
      <w:contextualSpacing/>
    </w:pPr>
  </w:style>
  <w:style w:type="paragraph" w:styleId="stbilgi">
    <w:name w:val="header"/>
    <w:basedOn w:val="Normal"/>
    <w:link w:val="stbilgiChar"/>
    <w:uiPriority w:val="99"/>
    <w:semiHidden/>
    <w:unhideWhenUsed/>
    <w:rsid w:val="00744BF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44BF6"/>
  </w:style>
  <w:style w:type="paragraph" w:styleId="Altbilgi">
    <w:name w:val="footer"/>
    <w:basedOn w:val="Normal"/>
    <w:link w:val="AltbilgiChar"/>
    <w:uiPriority w:val="99"/>
    <w:semiHidden/>
    <w:unhideWhenUsed/>
    <w:rsid w:val="00744BF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44BF6"/>
  </w:style>
</w:styles>
</file>

<file path=word/webSettings.xml><?xml version="1.0" encoding="utf-8"?>
<w:webSettings xmlns:r="http://schemas.openxmlformats.org/officeDocument/2006/relationships" xmlns:w="http://schemas.openxmlformats.org/wordprocessingml/2006/main">
  <w:divs>
    <w:div w:id="420642391">
      <w:bodyDiv w:val="1"/>
      <w:marLeft w:val="0"/>
      <w:marRight w:val="0"/>
      <w:marTop w:val="0"/>
      <w:marBottom w:val="0"/>
      <w:divBdr>
        <w:top w:val="none" w:sz="0" w:space="0" w:color="auto"/>
        <w:left w:val="none" w:sz="0" w:space="0" w:color="auto"/>
        <w:bottom w:val="none" w:sz="0" w:space="0" w:color="auto"/>
        <w:right w:val="none" w:sz="0" w:space="0" w:color="auto"/>
      </w:divBdr>
    </w:div>
    <w:div w:id="13182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2</Pages>
  <Words>359</Words>
  <Characters>2048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cp:lastModifiedBy>
  <cp:revision>85</cp:revision>
  <dcterms:created xsi:type="dcterms:W3CDTF">2020-03-14T11:34:00Z</dcterms:created>
  <dcterms:modified xsi:type="dcterms:W3CDTF">2021-01-02T23:51:00Z</dcterms:modified>
</cp:coreProperties>
</file>